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9E97" w14:textId="77777777" w:rsidR="002752A5" w:rsidRDefault="002752A5">
      <w:pPr>
        <w:rPr>
          <w:rFonts w:ascii="Times New Roman" w:hAnsi="Times New Roman"/>
          <w:b/>
          <w:bCs/>
          <w:sz w:val="24"/>
          <w:szCs w:val="24"/>
        </w:rPr>
      </w:pPr>
    </w:p>
    <w:p w14:paraId="0707BED5" w14:textId="77777777" w:rsidR="002752A5" w:rsidRDefault="007500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</w:t>
      </w:r>
    </w:p>
    <w:p w14:paraId="4F3098CA" w14:textId="77777777" w:rsidR="002752A5" w:rsidRDefault="007500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Stawki stypendialne w ramach programu Erasmus+ na mobilności długoterminowe studentów Politechniki Łódzkiej na studia zagraniczne w ramach programu Erasmus+ w państwach UE, państwach trzecich stowarzyszonych i </w:t>
      </w:r>
      <w:r>
        <w:rPr>
          <w:rFonts w:ascii="Times New Roman" w:hAnsi="Times New Roman"/>
          <w:b/>
          <w:bCs/>
          <w:sz w:val="24"/>
          <w:szCs w:val="24"/>
        </w:rPr>
        <w:t>niestowarzyszonych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z programem z regionu 1 – 14 w ramach programu Erasmus+ KA131-HED 2024</w:t>
      </w:r>
    </w:p>
    <w:p w14:paraId="16626C0E" w14:textId="77777777" w:rsidR="002752A5" w:rsidRDefault="007500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Narodowa Agencja, w oparciu o wytyczne Komisji Europejskiej, w porozumieniu z władzą krajową właściwą do spraw szkolnictwa wyższego, określiła następujące stawki stypendialne na mobilności długoterminowe na studia do krajów programu:</w:t>
      </w:r>
    </w:p>
    <w:p w14:paraId="58D8136D" w14:textId="77777777" w:rsidR="002752A5" w:rsidRDefault="002752A5">
      <w:pPr>
        <w:rPr>
          <w:rFonts w:ascii="Times New Roman" w:hAnsi="Times New Roman"/>
          <w:sz w:val="24"/>
          <w:szCs w:val="24"/>
        </w:rPr>
      </w:pPr>
    </w:p>
    <w:p w14:paraId="746E1B3B" w14:textId="77777777" w:rsidR="002752A5" w:rsidRDefault="007500DD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Wsparcie indywidualne (stypendium)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2752A5" w14:paraId="500A551C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9015" w14:textId="77777777" w:rsidR="002752A5" w:rsidRDefault="002752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53F8" w14:textId="77777777" w:rsidR="002752A5" w:rsidRDefault="007500D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Kraj przyjmujący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F882" w14:textId="77777777" w:rsidR="002752A5" w:rsidRDefault="002752A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zh-CN"/>
              </w:rPr>
            </w:pPr>
          </w:p>
          <w:p w14:paraId="03FE5B89" w14:textId="77777777" w:rsidR="002752A5" w:rsidRDefault="007500DD">
            <w:pPr>
              <w:widowControl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Stawka miesięczna</w:t>
            </w:r>
            <w:r>
              <w:t xml:space="preserve"> </w:t>
            </w:r>
            <w:r>
              <w:br/>
            </w:r>
          </w:p>
        </w:tc>
      </w:tr>
      <w:tr w:rsidR="002752A5" w14:paraId="30B38679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F1CF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hAnsi="Times New Roman"/>
                <w:b/>
              </w:rPr>
              <w:t>Grupa 1</w:t>
            </w:r>
          </w:p>
          <w:p w14:paraId="5C9C557C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hAnsi="Times New Roman"/>
                <w:b/>
              </w:rPr>
              <w:t>Kraje o wyższych kosztach utrzymania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543B" w14:textId="77777777" w:rsidR="002752A5" w:rsidRDefault="007500DD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Austria, Belgia, Dania, Finlandia, Francja, Islandia, </w:t>
            </w:r>
            <w:r>
              <w:rPr>
                <w:rFonts w:ascii="Times New Roman" w:hAnsi="Times New Roman"/>
              </w:rPr>
              <w:t xml:space="preserve">Irlandia,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Liechtenstein, Luksemburg,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Niderlandy, Niemcy,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Norwegia, Szwecja, Włochy</w:t>
            </w:r>
          </w:p>
          <w:p w14:paraId="2D1441A3" w14:textId="77777777" w:rsidR="002752A5" w:rsidRDefault="007500DD">
            <w:pPr>
              <w:suppressAutoHyphens w:val="0"/>
              <w:spacing w:before="120" w:after="120"/>
              <w:jc w:val="center"/>
            </w:pPr>
            <w:r>
              <w:rPr>
                <w:rFonts w:ascii="Times New Roman" w:hAnsi="Times New Roman"/>
                <w:i/>
                <w:iCs/>
              </w:rPr>
              <w:t>Państwa trzecie niestowarzyszone z programem z regionów 13 i 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DAC2" w14:textId="77777777" w:rsidR="002752A5" w:rsidRDefault="002752A5">
            <w:pPr>
              <w:suppressAutoHyphens w:val="0"/>
              <w:spacing w:after="1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14:paraId="56A34ECB" w14:textId="77777777" w:rsidR="002752A5" w:rsidRDefault="002752A5">
            <w:pPr>
              <w:suppressAutoHyphens w:val="0"/>
              <w:spacing w:after="160"/>
              <w:jc w:val="center"/>
              <w:rPr>
                <w:rFonts w:ascii="Times New Roman" w:eastAsia="Times New Roman" w:hAnsi="Times New Roman"/>
                <w:kern w:val="3"/>
              </w:rPr>
            </w:pPr>
          </w:p>
          <w:p w14:paraId="5212A793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eastAsia="Times New Roman" w:hAnsi="Times New Roman"/>
                <w:kern w:val="3"/>
              </w:rPr>
              <w:t>670</w:t>
            </w:r>
          </w:p>
        </w:tc>
      </w:tr>
      <w:tr w:rsidR="002752A5" w14:paraId="3A3ACD6A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A227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hAnsi="Times New Roman"/>
                <w:b/>
              </w:rPr>
              <w:t>Grupa 2</w:t>
            </w:r>
          </w:p>
          <w:p w14:paraId="4E6B95F9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hAnsi="Times New Roman"/>
                <w:b/>
              </w:rPr>
              <w:t>Kraje o średnich kosztach utrzymania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4934" w14:textId="77777777" w:rsidR="002752A5" w:rsidRDefault="007500DD">
            <w:pPr>
              <w:suppressAutoHyphens w:val="0"/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Cypr, Czechy, Estonia, Grecja, Hiszpania, Łotwa, </w:t>
            </w:r>
            <w:r>
              <w:rPr>
                <w:rFonts w:ascii="Times New Roman" w:hAnsi="Times New Roman"/>
              </w:rPr>
              <w:t xml:space="preserve">Malta,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Portugalia, Słowacja, Słowenia</w:t>
            </w:r>
          </w:p>
          <w:p w14:paraId="18B5F7E8" w14:textId="77777777" w:rsidR="002752A5" w:rsidRDefault="002752A5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329C" w14:textId="77777777" w:rsidR="002752A5" w:rsidRDefault="007500DD">
            <w:pPr>
              <w:suppressAutoHyphens w:val="0"/>
              <w:spacing w:after="16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14:paraId="0E464E69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eastAsia="Times New Roman" w:hAnsi="Times New Roman"/>
                <w:kern w:val="3"/>
              </w:rPr>
              <w:t>670</w:t>
            </w:r>
          </w:p>
        </w:tc>
      </w:tr>
      <w:tr w:rsidR="002752A5" w14:paraId="7F76E51C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28FB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hAnsi="Times New Roman"/>
                <w:b/>
              </w:rPr>
              <w:t>Grupa 3</w:t>
            </w:r>
          </w:p>
          <w:p w14:paraId="4B1C1E58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hAnsi="Times New Roman"/>
                <w:b/>
              </w:rPr>
              <w:t>Kraje o niższych kosztach utrzymania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E4DF" w14:textId="77777777" w:rsidR="002752A5" w:rsidRDefault="007500DD">
            <w:pPr>
              <w:suppressAutoHyphens w:val="0"/>
              <w:spacing w:before="120" w:after="120"/>
              <w:jc w:val="center"/>
            </w:pPr>
            <w:r>
              <w:rPr>
                <w:rFonts w:ascii="Times New Roman" w:hAnsi="Times New Roman"/>
              </w:rPr>
              <w:t xml:space="preserve">Bułgaria, Chorwacja, </w:t>
            </w:r>
            <w:r>
              <w:rPr>
                <w:rFonts w:ascii="Times New Roman" w:hAnsi="Times New Roman"/>
                <w:kern w:val="3"/>
              </w:rPr>
              <w:t xml:space="preserve"> </w:t>
            </w:r>
            <w:r>
              <w:rPr>
                <w:rFonts w:ascii="Times New Roman" w:hAnsi="Times New Roman"/>
              </w:rPr>
              <w:t>Litwa,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Macedonia Północna, Polska,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Rumunia, Serbia, Turcja, </w:t>
            </w:r>
            <w:r>
              <w:rPr>
                <w:rFonts w:ascii="Times New Roman" w:hAnsi="Times New Roman"/>
                <w:kern w:val="3"/>
              </w:rPr>
              <w:t>Węgry,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FCC0" w14:textId="77777777" w:rsidR="002752A5" w:rsidRDefault="002752A5">
            <w:pPr>
              <w:suppressAutoHyphens w:val="0"/>
              <w:spacing w:after="160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14:paraId="77C9455C" w14:textId="77777777" w:rsidR="002752A5" w:rsidRDefault="007500DD">
            <w:pPr>
              <w:suppressAutoHyphens w:val="0"/>
              <w:spacing w:after="160"/>
              <w:jc w:val="center"/>
            </w:pPr>
            <w:r>
              <w:rPr>
                <w:rFonts w:ascii="Times New Roman" w:eastAsia="Times New Roman" w:hAnsi="Times New Roman"/>
                <w:kern w:val="3"/>
              </w:rPr>
              <w:t>600</w:t>
            </w:r>
          </w:p>
        </w:tc>
      </w:tr>
      <w:tr w:rsidR="002752A5" w14:paraId="37DBAD14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6BC5" w14:textId="77777777" w:rsidR="002752A5" w:rsidRDefault="002752A5">
            <w:pPr>
              <w:suppressAutoHyphens w:val="0"/>
              <w:spacing w:after="1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1D23" w14:textId="77777777" w:rsidR="002752A5" w:rsidRDefault="007500DD">
            <w:pPr>
              <w:suppressAutoHyphens w:val="0"/>
              <w:spacing w:before="120" w:after="120"/>
              <w:jc w:val="center"/>
            </w:pPr>
            <w:r>
              <w:rPr>
                <w:rFonts w:ascii="Times New Roman" w:hAnsi="Times New Roman"/>
                <w:i/>
                <w:iCs/>
              </w:rPr>
              <w:t>Państwa trzecie niestowarzyszone z programem z regionów 1 - 12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A6E0" w14:textId="77777777" w:rsidR="002752A5" w:rsidRDefault="007500DD">
            <w:pPr>
              <w:suppressAutoHyphens w:val="0"/>
              <w:spacing w:before="160" w:after="16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700 </w:t>
            </w:r>
          </w:p>
        </w:tc>
      </w:tr>
    </w:tbl>
    <w:p w14:paraId="018B999B" w14:textId="77777777" w:rsidR="002752A5" w:rsidRDefault="002752A5">
      <w:pPr>
        <w:rPr>
          <w:rFonts w:ascii="Times New Roman" w:hAnsi="Times New Roman"/>
          <w:b/>
          <w:bCs/>
          <w:sz w:val="24"/>
          <w:szCs w:val="24"/>
        </w:rPr>
      </w:pPr>
    </w:p>
    <w:p w14:paraId="639091C5" w14:textId="77777777" w:rsidR="002752A5" w:rsidRDefault="002752A5">
      <w:pPr>
        <w:rPr>
          <w:rFonts w:ascii="Times New Roman" w:hAnsi="Times New Roman"/>
          <w:b/>
          <w:bCs/>
          <w:sz w:val="24"/>
          <w:szCs w:val="24"/>
        </w:rPr>
      </w:pPr>
    </w:p>
    <w:p w14:paraId="3C3510D4" w14:textId="77777777" w:rsidR="002752A5" w:rsidRDefault="007500DD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/>
          <w:b/>
        </w:rPr>
        <w:t xml:space="preserve">Wsparcie kosztów podroży z </w:t>
      </w:r>
      <w:r>
        <w:rPr>
          <w:rFonts w:ascii="Times New Roman" w:hAnsi="Times New Roman" w:cs="Arial"/>
          <w:b/>
        </w:rPr>
        <w:t>wykorzystaniem ekologicznych środków transportu</w:t>
      </w:r>
      <w:r>
        <w:rPr>
          <w:rFonts w:ascii="Times New Roman" w:hAnsi="Times New Roman" w:cs="Arial"/>
          <w:b/>
        </w:rPr>
        <w:br/>
      </w:r>
      <w:r>
        <w:rPr>
          <w:rFonts w:ascii="Times New Roman" w:hAnsi="Times New Roman" w:cs="Arial"/>
          <w:b/>
        </w:rPr>
        <w:t xml:space="preserve">i podróży </w:t>
      </w:r>
      <w:r>
        <w:rPr>
          <w:rFonts w:ascii="Times New Roman" w:hAnsi="Times New Roman"/>
          <w:b/>
        </w:rPr>
        <w:t xml:space="preserve">standardowej </w:t>
      </w:r>
    </w:p>
    <w:p w14:paraId="5AD36749" w14:textId="77777777" w:rsidR="002752A5" w:rsidRDefault="002752A5">
      <w:pPr>
        <w:spacing w:after="0"/>
        <w:ind w:left="1134" w:hanging="1134"/>
        <w:rPr>
          <w:rFonts w:ascii="Times New Roman" w:hAnsi="Times New Roman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2542"/>
        <w:gridCol w:w="2562"/>
        <w:gridCol w:w="1745"/>
      </w:tblGrid>
      <w:tr w:rsidR="002752A5" w14:paraId="1C040434" w14:textId="77777777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2E464A" w14:textId="77777777" w:rsidR="002752A5" w:rsidRDefault="007500DD">
            <w:pPr>
              <w:widowControl w:val="0"/>
              <w:spacing w:after="0"/>
              <w:ind w:left="34"/>
              <w:jc w:val="center"/>
              <w:textAlignment w:val="baseline"/>
            </w:pPr>
            <w:r>
              <w:rPr>
                <w:rFonts w:ascii="Times New Roman" w:hAnsi="Times New Roman"/>
                <w:b/>
              </w:rPr>
              <w:t>Odległość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4B7EDE" w14:textId="77777777" w:rsidR="002752A5" w:rsidRDefault="007500DD">
            <w:pPr>
              <w:widowControl w:val="0"/>
              <w:spacing w:after="0"/>
              <w:ind w:left="34"/>
              <w:jc w:val="center"/>
              <w:textAlignment w:val="baseline"/>
            </w:pPr>
            <w:r>
              <w:rPr>
                <w:rFonts w:ascii="Times New Roman" w:hAnsi="Times New Roman" w:cs="Arial"/>
                <w:b/>
              </w:rPr>
              <w:t>Podróż z wykorzystaniem ekologicznych środków transportu – wysokość stawki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4ED966" w14:textId="77777777" w:rsidR="002752A5" w:rsidRDefault="007500DD">
            <w:pPr>
              <w:widowControl w:val="0"/>
              <w:spacing w:after="0"/>
              <w:ind w:left="34"/>
              <w:jc w:val="center"/>
              <w:textAlignment w:val="baseline"/>
            </w:pPr>
            <w:r>
              <w:rPr>
                <w:rFonts w:ascii="Times New Roman" w:hAnsi="Times New Roman" w:cs="Arial"/>
                <w:b/>
              </w:rPr>
              <w:t xml:space="preserve">Podróż bez wykorzystania ekologicznych środków </w:t>
            </w:r>
            <w:r>
              <w:rPr>
                <w:rFonts w:ascii="Times New Roman" w:hAnsi="Times New Roman" w:cs="Arial"/>
                <w:b/>
              </w:rPr>
              <w:t>transportu – wysokość stawki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6F43A" w14:textId="77777777" w:rsidR="002752A5" w:rsidRDefault="007500DD">
            <w:pPr>
              <w:widowControl w:val="0"/>
              <w:spacing w:after="0"/>
              <w:ind w:left="34"/>
              <w:jc w:val="center"/>
              <w:textAlignment w:val="baseline"/>
              <w:rPr>
                <w:rFonts w:ascii="Times New Roman" w:hAnsi="Times New Roman" w:cs="Arial"/>
                <w:b/>
              </w:rPr>
            </w:pPr>
            <w:r>
              <w:rPr>
                <w:rFonts w:ascii="Times New Roman" w:hAnsi="Times New Roman" w:cs="Arial"/>
                <w:b/>
              </w:rPr>
              <w:t>Maksymalny limit dni przeznaczonych na podróż typu Green Travel</w:t>
            </w:r>
          </w:p>
        </w:tc>
      </w:tr>
      <w:tr w:rsidR="002752A5" w14:paraId="376145C8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21FC08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10 do 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CEA122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56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089A92" w14:textId="77777777" w:rsidR="002752A5" w:rsidRDefault="007500DD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28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ED1BF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752A5" w14:paraId="6A0F0635" w14:textId="7777777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BEE8BE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100 do 499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F387C2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285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ABE2EF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211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DD347" w14:textId="77777777" w:rsidR="002752A5" w:rsidRDefault="007500DD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752A5" w14:paraId="6235BAF7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6E2107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500 do 1 999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F5FA75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417 EUR na </w:t>
            </w:r>
            <w:r>
              <w:rPr>
                <w:rFonts w:ascii="Times New Roman" w:hAnsi="Times New Roman"/>
              </w:rPr>
              <w:t>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965071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309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8D524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752A5" w14:paraId="1F62CEA9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527D5B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2 000 do 2 999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9FEDEA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535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770C64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395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31ED6" w14:textId="77777777" w:rsidR="002752A5" w:rsidRDefault="007500DD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2752A5" w14:paraId="3E73369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9EF7D9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3 000 do 3 999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96FA20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785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06839A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580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38CF3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752A5" w14:paraId="0A61F815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0249D8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od 4 000 do 7 999 km: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D7E180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1 188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F2B2E9" w14:textId="77777777" w:rsidR="002752A5" w:rsidRDefault="007500DD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1 188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64C18" w14:textId="77777777" w:rsidR="002752A5" w:rsidRDefault="007500DD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6</w:t>
            </w:r>
          </w:p>
        </w:tc>
      </w:tr>
      <w:tr w:rsidR="002752A5" w14:paraId="4776755A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76FC6B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8 000 </w:t>
            </w:r>
            <w:r>
              <w:rPr>
                <w:rFonts w:ascii="Times New Roman" w:hAnsi="Times New Roman"/>
              </w:rPr>
              <w:t>km lub więcej: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BE76F4" w14:textId="77777777" w:rsidR="002752A5" w:rsidRDefault="007500DD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1 735 EUR na uczestnika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E63FA3" w14:textId="77777777" w:rsidR="002752A5" w:rsidRDefault="007500DD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1 735 EUR na uczestnika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4379E" w14:textId="77777777" w:rsidR="002752A5" w:rsidRDefault="007500DD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6</w:t>
            </w:r>
          </w:p>
        </w:tc>
      </w:tr>
    </w:tbl>
    <w:p w14:paraId="2680C614" w14:textId="77777777" w:rsidR="002752A5" w:rsidRDefault="002752A5">
      <w:pPr>
        <w:rPr>
          <w:rFonts w:ascii="Times New Roman" w:hAnsi="Times New Roman"/>
          <w:b/>
          <w:bCs/>
          <w:sz w:val="24"/>
          <w:szCs w:val="24"/>
        </w:rPr>
      </w:pPr>
    </w:p>
    <w:p w14:paraId="353BB293" w14:textId="77777777" w:rsidR="002752A5" w:rsidRDefault="007500DD">
      <w:pPr>
        <w:spacing w:line="264" w:lineRule="auto"/>
      </w:pPr>
      <w:r>
        <w:rPr>
          <w:rFonts w:ascii="Times New Roman" w:hAnsi="Times New Roman"/>
          <w:sz w:val="24"/>
          <w:szCs w:val="24"/>
        </w:rPr>
        <w:t xml:space="preserve">Uczestnicy otrzymują również dodatkowe wsparcie indywidualne </w:t>
      </w:r>
      <w:r>
        <w:rPr>
          <w:rFonts w:ascii="Times New Roman" w:hAnsi="Times New Roman"/>
          <w:b/>
          <w:bCs/>
          <w:sz w:val="24"/>
          <w:szCs w:val="24"/>
        </w:rPr>
        <w:t>na 2 dni</w:t>
      </w:r>
      <w:r>
        <w:rPr>
          <w:rFonts w:ascii="Times New Roman" w:hAnsi="Times New Roman"/>
          <w:sz w:val="24"/>
          <w:szCs w:val="24"/>
        </w:rPr>
        <w:t xml:space="preserve"> podróży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przypadku podróży standardowej.</w:t>
      </w:r>
    </w:p>
    <w:p w14:paraId="4E3E8BEA" w14:textId="77777777" w:rsidR="002752A5" w:rsidRDefault="007500DD">
      <w:pPr>
        <w:spacing w:line="264" w:lineRule="auto"/>
      </w:pPr>
      <w:r>
        <w:rPr>
          <w:rFonts w:ascii="Times New Roman" w:hAnsi="Times New Roman"/>
          <w:sz w:val="24"/>
          <w:szCs w:val="24"/>
        </w:rPr>
        <w:t xml:space="preserve">Uczestnicy otrzymują również dodatkowe wsparcie indywidualne </w:t>
      </w:r>
      <w:r>
        <w:rPr>
          <w:rFonts w:ascii="Times New Roman" w:hAnsi="Times New Roman"/>
          <w:sz w:val="24"/>
          <w:szCs w:val="24"/>
        </w:rPr>
        <w:t xml:space="preserve">maksymalnie </w:t>
      </w:r>
      <w:r>
        <w:rPr>
          <w:rFonts w:ascii="Times New Roman" w:hAnsi="Times New Roman"/>
          <w:b/>
          <w:bCs/>
          <w:sz w:val="24"/>
          <w:szCs w:val="24"/>
        </w:rPr>
        <w:t>do 6 dni</w:t>
      </w:r>
      <w:r>
        <w:rPr>
          <w:rFonts w:ascii="Times New Roman" w:hAnsi="Times New Roman"/>
          <w:sz w:val="24"/>
          <w:szCs w:val="24"/>
        </w:rPr>
        <w:t xml:space="preserve"> podróży </w:t>
      </w:r>
      <w:r>
        <w:rPr>
          <w:rFonts w:ascii="Times New Roman" w:hAnsi="Times New Roman"/>
          <w:bCs/>
        </w:rPr>
        <w:t>przy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wykorzystaniu ekologicznych środków transportu.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Decyzja o liczbie dni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dodatkowym wsparciem finansowym jest podejmowana przez Biuro SMS indywidulanie dla każdej mobilności.</w:t>
      </w:r>
    </w:p>
    <w:p w14:paraId="508A7A08" w14:textId="77777777" w:rsidR="002752A5" w:rsidRDefault="002752A5">
      <w:pPr>
        <w:rPr>
          <w:rFonts w:ascii="Times New Roman" w:hAnsi="Times New Roman"/>
          <w:sz w:val="24"/>
          <w:szCs w:val="24"/>
        </w:rPr>
      </w:pPr>
    </w:p>
    <w:sectPr w:rsidR="002752A5">
      <w:headerReference w:type="default" r:id="rId7"/>
      <w:footerReference w:type="default" r:id="rId8"/>
      <w:pgSz w:w="11906" w:h="16838"/>
      <w:pgMar w:top="993" w:right="1417" w:bottom="284" w:left="1417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2001" w14:textId="77777777" w:rsidR="007500DD" w:rsidRDefault="007500DD">
      <w:pPr>
        <w:spacing w:after="0" w:line="240" w:lineRule="auto"/>
      </w:pPr>
      <w:r>
        <w:separator/>
      </w:r>
    </w:p>
  </w:endnote>
  <w:endnote w:type="continuationSeparator" w:id="0">
    <w:p w14:paraId="489F9522" w14:textId="77777777" w:rsidR="007500DD" w:rsidRDefault="0075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4FFA" w14:textId="77777777" w:rsidR="007500DD" w:rsidRDefault="007500D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460649" w14:textId="77777777" w:rsidR="007500DD" w:rsidRDefault="007500DD">
    <w:pPr>
      <w:pStyle w:val="Stopka"/>
    </w:pPr>
  </w:p>
  <w:p w14:paraId="0D6BD78B" w14:textId="77777777" w:rsidR="007500DD" w:rsidRDefault="00750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35A4" w14:textId="77777777" w:rsidR="007500DD" w:rsidRDefault="007500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439F6F" w14:textId="77777777" w:rsidR="007500DD" w:rsidRDefault="0075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7618" w14:textId="77777777" w:rsidR="007500DD" w:rsidRDefault="007500D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93BCA9" wp14:editId="08B97A10">
          <wp:simplePos x="0" y="0"/>
          <wp:positionH relativeFrom="column">
            <wp:posOffset>3024506</wp:posOffset>
          </wp:positionH>
          <wp:positionV relativeFrom="paragraph">
            <wp:posOffset>-234314</wp:posOffset>
          </wp:positionV>
          <wp:extent cx="2772003" cy="496802"/>
          <wp:effectExtent l="0" t="0" r="9297" b="0"/>
          <wp:wrapTight wrapText="bothSides">
            <wp:wrapPolygon edited="0">
              <wp:start x="0" y="0"/>
              <wp:lineTo x="0" y="20706"/>
              <wp:lineTo x="21524" y="20706"/>
              <wp:lineTo x="21524" y="0"/>
              <wp:lineTo x="0" y="0"/>
            </wp:wrapPolygon>
          </wp:wrapTight>
          <wp:docPr id="645464879" name="Obraz 76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003" cy="496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8C7A0C" wp14:editId="7E330E13">
          <wp:simplePos x="0" y="0"/>
          <wp:positionH relativeFrom="margin">
            <wp:align>left</wp:align>
          </wp:positionH>
          <wp:positionV relativeFrom="paragraph">
            <wp:posOffset>-245114</wp:posOffset>
          </wp:positionV>
          <wp:extent cx="1713603" cy="755998"/>
          <wp:effectExtent l="0" t="0" r="897" b="6002"/>
          <wp:wrapNone/>
          <wp:docPr id="1501811363" name="Obraz 5" descr="Obraz zawierający tekst, Czcionka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3603" cy="75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EB2D0B" w14:textId="77777777" w:rsidR="007500DD" w:rsidRDefault="007500DD">
    <w:pPr>
      <w:tabs>
        <w:tab w:val="left" w:pos="39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A1769"/>
    <w:multiLevelType w:val="multilevel"/>
    <w:tmpl w:val="93EC68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41566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2A5"/>
    <w:rsid w:val="00267FC9"/>
    <w:rsid w:val="002752A5"/>
    <w:rsid w:val="007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DC25"/>
  <w15:docId w15:val="{62EF6CF1-5414-49EE-ACEB-714DD239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TableParagraph">
    <w:name w:val="Table Paragraph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</w:rPr>
  </w:style>
  <w:style w:type="paragraph" w:styleId="NormalnyWeb">
    <w:name w:val="Normal (Web)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Laskowska CWM</dc:creator>
  <dc:description/>
  <cp:lastModifiedBy>Mariola Józefowicz CWM</cp:lastModifiedBy>
  <cp:revision>2</cp:revision>
  <cp:lastPrinted>2022-03-07T09:03:00Z</cp:lastPrinted>
  <dcterms:created xsi:type="dcterms:W3CDTF">2025-02-14T15:27:00Z</dcterms:created>
  <dcterms:modified xsi:type="dcterms:W3CDTF">2025-02-14T15:27:00Z</dcterms:modified>
</cp:coreProperties>
</file>