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8807C" w14:textId="77777777" w:rsidR="0034699C" w:rsidRDefault="0034699C" w:rsidP="0034699C">
      <w:pPr>
        <w:tabs>
          <w:tab w:val="left" w:pos="5670"/>
        </w:tabs>
        <w:rPr>
          <w:lang w:val="en-GB"/>
        </w:rPr>
      </w:pPr>
    </w:p>
    <w:p w14:paraId="4085F5C8" w14:textId="77777777" w:rsidR="0034699C" w:rsidRPr="00D3645D" w:rsidRDefault="0034699C" w:rsidP="0034699C">
      <w:pPr>
        <w:tabs>
          <w:tab w:val="left" w:pos="5670"/>
        </w:tabs>
        <w:rPr>
          <w:sz w:val="16"/>
          <w:szCs w:val="16"/>
          <w:lang w:val="en-GB"/>
        </w:rPr>
      </w:pPr>
      <w:r w:rsidRPr="00D3645D">
        <w:rPr>
          <w:sz w:val="16"/>
          <w:szCs w:val="16"/>
          <w:lang w:val="en-GB"/>
        </w:rPr>
        <w:t>Annex II</w:t>
      </w:r>
    </w:p>
    <w:p w14:paraId="6E32C03C" w14:textId="77777777" w:rsidR="0034699C" w:rsidRPr="00D3645D" w:rsidRDefault="0034699C" w:rsidP="0034699C">
      <w:pPr>
        <w:tabs>
          <w:tab w:val="left" w:pos="5670"/>
        </w:tabs>
        <w:rPr>
          <w:sz w:val="16"/>
          <w:szCs w:val="16"/>
          <w:lang w:val="en-GB"/>
        </w:rPr>
      </w:pPr>
    </w:p>
    <w:p w14:paraId="2C05C20C" w14:textId="77777777" w:rsidR="0034699C" w:rsidRPr="00D3645D" w:rsidRDefault="0034699C" w:rsidP="0034699C">
      <w:pPr>
        <w:tabs>
          <w:tab w:val="left" w:pos="5670"/>
        </w:tabs>
        <w:rPr>
          <w:sz w:val="16"/>
          <w:szCs w:val="16"/>
          <w:lang w:val="en-GB"/>
        </w:rPr>
      </w:pPr>
    </w:p>
    <w:p w14:paraId="73F210C3" w14:textId="77777777" w:rsidR="0034699C" w:rsidRPr="00D3645D" w:rsidRDefault="0034699C" w:rsidP="0034699C">
      <w:pPr>
        <w:tabs>
          <w:tab w:val="left" w:pos="5670"/>
        </w:tabs>
        <w:rPr>
          <w:sz w:val="16"/>
          <w:szCs w:val="16"/>
          <w:lang w:val="en-GB"/>
        </w:rPr>
      </w:pPr>
      <w:r w:rsidRPr="00D3645D">
        <w:rPr>
          <w:sz w:val="16"/>
          <w:szCs w:val="16"/>
          <w:lang w:val="en-GB"/>
        </w:rPr>
        <w:t>GENERAL CONDITIONS</w:t>
      </w:r>
    </w:p>
    <w:p w14:paraId="2879F0D8" w14:textId="77777777" w:rsidR="0034699C" w:rsidRPr="00D3645D" w:rsidRDefault="0034699C" w:rsidP="0034699C">
      <w:pPr>
        <w:tabs>
          <w:tab w:val="left" w:pos="5670"/>
        </w:tabs>
        <w:rPr>
          <w:sz w:val="16"/>
          <w:szCs w:val="16"/>
          <w:lang w:val="en-GB"/>
        </w:rPr>
      </w:pPr>
    </w:p>
    <w:p w14:paraId="69194670" w14:textId="77777777" w:rsidR="0034699C" w:rsidRPr="00D3645D" w:rsidRDefault="0034699C" w:rsidP="0034699C">
      <w:pPr>
        <w:tabs>
          <w:tab w:val="left" w:pos="5670"/>
        </w:tabs>
        <w:rPr>
          <w:sz w:val="16"/>
          <w:szCs w:val="16"/>
          <w:lang w:val="en-GB"/>
        </w:rPr>
      </w:pPr>
    </w:p>
    <w:p w14:paraId="09B02AD4" w14:textId="77777777" w:rsidR="0034699C" w:rsidRPr="00D3645D" w:rsidRDefault="0034699C" w:rsidP="0034699C">
      <w:pPr>
        <w:tabs>
          <w:tab w:val="left" w:pos="5670"/>
        </w:tabs>
        <w:rPr>
          <w:b/>
          <w:sz w:val="16"/>
          <w:szCs w:val="16"/>
          <w:lang w:val="en-GB"/>
        </w:rPr>
      </w:pPr>
      <w:r w:rsidRPr="00D3645D">
        <w:rPr>
          <w:b/>
          <w:sz w:val="16"/>
          <w:szCs w:val="16"/>
          <w:lang w:val="en-GB"/>
        </w:rPr>
        <w:t>Article 1: Liability</w:t>
      </w:r>
    </w:p>
    <w:p w14:paraId="4667CF52" w14:textId="77777777" w:rsidR="0034699C" w:rsidRPr="00D3645D" w:rsidRDefault="0034699C" w:rsidP="0034699C">
      <w:pPr>
        <w:tabs>
          <w:tab w:val="left" w:pos="5670"/>
        </w:tabs>
        <w:rPr>
          <w:sz w:val="16"/>
          <w:szCs w:val="16"/>
          <w:lang w:val="en-GB"/>
        </w:rPr>
      </w:pPr>
    </w:p>
    <w:p w14:paraId="1789617F" w14:textId="77777777" w:rsidR="0034699C" w:rsidRPr="00D3645D" w:rsidRDefault="0034699C" w:rsidP="0034699C">
      <w:pPr>
        <w:tabs>
          <w:tab w:val="left" w:pos="5670"/>
        </w:tabs>
        <w:rPr>
          <w:sz w:val="16"/>
          <w:szCs w:val="16"/>
          <w:lang w:val="en-GB"/>
        </w:rPr>
      </w:pPr>
      <w:r w:rsidRPr="00D3645D">
        <w:rPr>
          <w:sz w:val="16"/>
          <w:szCs w:val="16"/>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14:paraId="0C6DFD69" w14:textId="77777777" w:rsidR="0034699C" w:rsidRPr="00D3645D" w:rsidRDefault="0034699C" w:rsidP="0034699C">
      <w:pPr>
        <w:tabs>
          <w:tab w:val="left" w:pos="5670"/>
        </w:tabs>
        <w:rPr>
          <w:sz w:val="16"/>
          <w:szCs w:val="16"/>
          <w:lang w:val="en-GB"/>
        </w:rPr>
      </w:pPr>
    </w:p>
    <w:p w14:paraId="729F686D" w14:textId="77777777" w:rsidR="0034699C" w:rsidRPr="00D3645D" w:rsidRDefault="0034699C" w:rsidP="0034699C">
      <w:pPr>
        <w:tabs>
          <w:tab w:val="left" w:pos="5670"/>
        </w:tabs>
        <w:rPr>
          <w:sz w:val="16"/>
          <w:szCs w:val="16"/>
          <w:lang w:val="en-GB"/>
        </w:rPr>
      </w:pPr>
      <w:r w:rsidRPr="00D3645D">
        <w:rPr>
          <w:sz w:val="16"/>
          <w:szCs w:val="16"/>
          <w:lang w:val="en-GB"/>
        </w:rPr>
        <w:t xml:space="preserve">The National Agency of Poland, the European Commission or their staff shall not be held liable in the event of a claim under the agreement relating to any damage caused during the execution of the mobility period. Consequently, the National Agency of Poland or the European Commission shall not entertain any request for indemnity of reimbursement accompanying such claim. </w:t>
      </w:r>
    </w:p>
    <w:p w14:paraId="68762225" w14:textId="77777777" w:rsidR="0034699C" w:rsidRPr="00D3645D" w:rsidRDefault="0034699C" w:rsidP="0034699C">
      <w:pPr>
        <w:tabs>
          <w:tab w:val="left" w:pos="5670"/>
        </w:tabs>
        <w:rPr>
          <w:b/>
          <w:sz w:val="16"/>
          <w:szCs w:val="16"/>
          <w:lang w:val="en-GB"/>
        </w:rPr>
      </w:pPr>
    </w:p>
    <w:p w14:paraId="1708CBB9" w14:textId="77777777" w:rsidR="0034699C" w:rsidRPr="00D3645D" w:rsidRDefault="0034699C" w:rsidP="0034699C">
      <w:pPr>
        <w:tabs>
          <w:tab w:val="left" w:pos="5670"/>
        </w:tabs>
        <w:rPr>
          <w:b/>
          <w:sz w:val="16"/>
          <w:szCs w:val="16"/>
          <w:lang w:val="en-GB"/>
        </w:rPr>
      </w:pPr>
      <w:r w:rsidRPr="00D3645D">
        <w:rPr>
          <w:b/>
          <w:sz w:val="16"/>
          <w:szCs w:val="16"/>
          <w:lang w:val="en-GB"/>
        </w:rPr>
        <w:t>Article 2: Termination of the agreement</w:t>
      </w:r>
    </w:p>
    <w:p w14:paraId="477C295C" w14:textId="77777777" w:rsidR="0034699C" w:rsidRPr="00D3645D" w:rsidRDefault="0034699C" w:rsidP="0034699C">
      <w:pPr>
        <w:tabs>
          <w:tab w:val="left" w:pos="5670"/>
        </w:tabs>
        <w:rPr>
          <w:sz w:val="16"/>
          <w:szCs w:val="16"/>
          <w:lang w:val="en-GB"/>
        </w:rPr>
      </w:pPr>
    </w:p>
    <w:p w14:paraId="014B8E42" w14:textId="77777777" w:rsidR="0034699C" w:rsidRPr="00D3645D" w:rsidRDefault="0034699C" w:rsidP="0034699C">
      <w:pPr>
        <w:tabs>
          <w:tab w:val="left" w:pos="5670"/>
        </w:tabs>
        <w:rPr>
          <w:sz w:val="16"/>
          <w:szCs w:val="16"/>
          <w:lang w:val="en-GB"/>
        </w:rPr>
      </w:pPr>
      <w:r w:rsidRPr="00D3645D">
        <w:rPr>
          <w:sz w:val="16"/>
          <w:szCs w:val="16"/>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14:paraId="4A9D39AA" w14:textId="77777777" w:rsidR="0034699C" w:rsidRPr="00D3645D" w:rsidRDefault="0034699C" w:rsidP="0034699C">
      <w:pPr>
        <w:tabs>
          <w:tab w:val="left" w:pos="5670"/>
        </w:tabs>
        <w:rPr>
          <w:sz w:val="16"/>
          <w:szCs w:val="16"/>
          <w:lang w:val="en-GB"/>
        </w:rPr>
      </w:pPr>
    </w:p>
    <w:p w14:paraId="0CBA17BD" w14:textId="77777777" w:rsidR="0034699C" w:rsidRPr="00D3645D" w:rsidRDefault="0034699C" w:rsidP="0034699C">
      <w:pPr>
        <w:tabs>
          <w:tab w:val="left" w:pos="5670"/>
        </w:tabs>
        <w:rPr>
          <w:sz w:val="16"/>
          <w:szCs w:val="16"/>
          <w:lang w:val="en-GB"/>
        </w:rPr>
      </w:pPr>
      <w:r w:rsidRPr="00D3645D">
        <w:rPr>
          <w:sz w:val="16"/>
          <w:szCs w:val="16"/>
          <w:lang w:val="en-GB"/>
        </w:rPr>
        <w:t>If the participant terminates the agreement before its agreement ends or if he/she fails to follow the agreement in accordance with the rules, he/she shall have to refund the amount of the grant already paid, except if agreed differently with the sending organisation.</w:t>
      </w:r>
    </w:p>
    <w:p w14:paraId="5A2D5898" w14:textId="77777777" w:rsidR="0034699C" w:rsidRPr="00D3645D" w:rsidRDefault="0034699C" w:rsidP="0034699C">
      <w:pPr>
        <w:tabs>
          <w:tab w:val="left" w:pos="5670"/>
        </w:tabs>
        <w:rPr>
          <w:sz w:val="16"/>
          <w:szCs w:val="16"/>
          <w:lang w:val="en-GB"/>
        </w:rPr>
      </w:pPr>
    </w:p>
    <w:p w14:paraId="18AC9C22" w14:textId="77777777" w:rsidR="0034699C" w:rsidRPr="00D3645D" w:rsidRDefault="0034699C" w:rsidP="0034699C">
      <w:pPr>
        <w:tabs>
          <w:tab w:val="left" w:pos="5670"/>
        </w:tabs>
        <w:rPr>
          <w:sz w:val="16"/>
          <w:szCs w:val="16"/>
          <w:lang w:val="en-GB"/>
        </w:rPr>
      </w:pPr>
      <w:r w:rsidRPr="00D3645D">
        <w:rPr>
          <w:sz w:val="16"/>
          <w:szCs w:val="16"/>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sending organisation.</w:t>
      </w:r>
    </w:p>
    <w:p w14:paraId="30EE80D2" w14:textId="77777777" w:rsidR="0034699C" w:rsidRPr="00D3645D" w:rsidRDefault="0034699C" w:rsidP="0034699C">
      <w:pPr>
        <w:tabs>
          <w:tab w:val="left" w:pos="5670"/>
        </w:tabs>
        <w:rPr>
          <w:sz w:val="16"/>
          <w:szCs w:val="16"/>
          <w:lang w:val="en-GB"/>
        </w:rPr>
      </w:pPr>
    </w:p>
    <w:p w14:paraId="48D0C22B" w14:textId="77777777" w:rsidR="0034699C" w:rsidRPr="00D3645D" w:rsidRDefault="0034699C" w:rsidP="0034699C">
      <w:pPr>
        <w:tabs>
          <w:tab w:val="left" w:pos="5670"/>
        </w:tabs>
        <w:rPr>
          <w:b/>
          <w:sz w:val="16"/>
          <w:szCs w:val="16"/>
          <w:lang w:val="en-GB"/>
        </w:rPr>
      </w:pPr>
      <w:r w:rsidRPr="00D3645D">
        <w:rPr>
          <w:b/>
          <w:sz w:val="16"/>
          <w:szCs w:val="16"/>
          <w:lang w:val="en-GB"/>
        </w:rPr>
        <w:t>Article 3: Data Protection</w:t>
      </w:r>
    </w:p>
    <w:p w14:paraId="0BB5C936" w14:textId="77777777" w:rsidR="0034699C" w:rsidRPr="00D3645D" w:rsidRDefault="0034699C" w:rsidP="0034699C">
      <w:pPr>
        <w:tabs>
          <w:tab w:val="left" w:pos="5670"/>
        </w:tabs>
        <w:rPr>
          <w:sz w:val="16"/>
          <w:szCs w:val="16"/>
          <w:lang w:val="en-GB"/>
        </w:rPr>
      </w:pPr>
    </w:p>
    <w:p w14:paraId="57F4CB12" w14:textId="77777777" w:rsidR="0034699C" w:rsidRPr="00192A83" w:rsidRDefault="0034699C" w:rsidP="0034699C">
      <w:pPr>
        <w:rPr>
          <w:sz w:val="16"/>
          <w:szCs w:val="16"/>
          <w:lang w:val="en-GB"/>
        </w:rPr>
      </w:pPr>
      <w:r w:rsidRPr="00192A83">
        <w:rPr>
          <w:sz w:val="16"/>
          <w:szCs w:val="16"/>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14:paraId="651F630E" w14:textId="77777777" w:rsidR="0034699C" w:rsidRPr="00D3645D" w:rsidRDefault="0034699C" w:rsidP="0034699C">
      <w:pPr>
        <w:tabs>
          <w:tab w:val="left" w:pos="5670"/>
        </w:tabs>
        <w:rPr>
          <w:sz w:val="16"/>
          <w:szCs w:val="16"/>
          <w:lang w:val="en-GB"/>
        </w:rPr>
      </w:pPr>
    </w:p>
    <w:p w14:paraId="0027F10C" w14:textId="77777777" w:rsidR="0034699C" w:rsidRPr="00D3645D" w:rsidRDefault="0034699C" w:rsidP="0034699C">
      <w:pPr>
        <w:tabs>
          <w:tab w:val="left" w:pos="5670"/>
        </w:tabs>
        <w:rPr>
          <w:sz w:val="16"/>
          <w:szCs w:val="16"/>
          <w:lang w:val="en-GB"/>
        </w:rPr>
      </w:pPr>
      <w:r w:rsidRPr="00D3645D">
        <w:rPr>
          <w:sz w:val="16"/>
          <w:szCs w:val="16"/>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17570E7D" w14:textId="77777777" w:rsidR="0034699C" w:rsidRPr="00D3645D" w:rsidRDefault="0034699C" w:rsidP="0034699C">
      <w:pPr>
        <w:tabs>
          <w:tab w:val="left" w:pos="5670"/>
        </w:tabs>
        <w:rPr>
          <w:sz w:val="16"/>
          <w:szCs w:val="16"/>
          <w:lang w:val="en-GB"/>
        </w:rPr>
      </w:pPr>
    </w:p>
    <w:p w14:paraId="01D37C93" w14:textId="77777777" w:rsidR="0034699C" w:rsidRPr="00D3645D" w:rsidRDefault="0034699C" w:rsidP="0034699C">
      <w:pPr>
        <w:tabs>
          <w:tab w:val="left" w:pos="5670"/>
        </w:tabs>
        <w:rPr>
          <w:b/>
          <w:sz w:val="16"/>
          <w:szCs w:val="16"/>
          <w:lang w:val="en-GB"/>
        </w:rPr>
      </w:pPr>
    </w:p>
    <w:p w14:paraId="295EC6DC" w14:textId="77777777" w:rsidR="0034699C" w:rsidRPr="00D3645D" w:rsidRDefault="0034699C" w:rsidP="0034699C">
      <w:pPr>
        <w:tabs>
          <w:tab w:val="left" w:pos="5670"/>
        </w:tabs>
        <w:rPr>
          <w:b/>
          <w:sz w:val="16"/>
          <w:szCs w:val="16"/>
          <w:lang w:val="en-GB"/>
        </w:rPr>
      </w:pPr>
      <w:r w:rsidRPr="00D3645D">
        <w:rPr>
          <w:b/>
          <w:sz w:val="16"/>
          <w:szCs w:val="16"/>
          <w:lang w:val="en-GB"/>
        </w:rPr>
        <w:t>Article 4: Checks and Audits</w:t>
      </w:r>
    </w:p>
    <w:p w14:paraId="33FFBF72" w14:textId="77777777" w:rsidR="0034699C" w:rsidRPr="00D3645D" w:rsidRDefault="0034699C" w:rsidP="0034699C">
      <w:pPr>
        <w:tabs>
          <w:tab w:val="left" w:pos="5670"/>
        </w:tabs>
        <w:rPr>
          <w:sz w:val="16"/>
          <w:szCs w:val="16"/>
          <w:lang w:val="en-GB"/>
        </w:rPr>
      </w:pPr>
    </w:p>
    <w:p w14:paraId="75604D0B" w14:textId="77777777" w:rsidR="0034699C" w:rsidRPr="00D3645D" w:rsidRDefault="0034699C" w:rsidP="0034699C">
      <w:pPr>
        <w:tabs>
          <w:tab w:val="left" w:pos="5670"/>
        </w:tabs>
        <w:rPr>
          <w:sz w:val="16"/>
          <w:szCs w:val="16"/>
          <w:lang w:val="en-GB"/>
        </w:rPr>
      </w:pPr>
      <w:r w:rsidRPr="00D3645D">
        <w:rPr>
          <w:sz w:val="16"/>
          <w:szCs w:val="16"/>
          <w:lang w:val="en-GB"/>
        </w:rPr>
        <w:t>The parties of the agreement undertake to provide any detailed information requested by the European Commission, the National Agency of Poland or by any other outside body authorised by the European Commission or the National Agency of Poland to check that the mobility period and the provisions of the agreement are being properly implemented.</w:t>
      </w:r>
    </w:p>
    <w:p w14:paraId="18F643BB" w14:textId="77777777" w:rsidR="00456413" w:rsidRPr="0034699C" w:rsidRDefault="00456413">
      <w:pPr>
        <w:rPr>
          <w:lang w:val="en-GB"/>
        </w:rPr>
      </w:pPr>
      <w:bookmarkStart w:id="0" w:name="_GoBack"/>
      <w:bookmarkEnd w:id="0"/>
    </w:p>
    <w:sectPr w:rsidR="00456413" w:rsidRPr="00346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EAC"/>
    <w:rsid w:val="0034699C"/>
    <w:rsid w:val="00456413"/>
    <w:rsid w:val="00906E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A2F6A0-F681-4F23-9EA0-4F03FD9CE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699C"/>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3086</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Jarzębowska CWM</dc:creator>
  <cp:keywords/>
  <dc:description/>
  <cp:lastModifiedBy>Ewa Jarzębowska CWM</cp:lastModifiedBy>
  <cp:revision>2</cp:revision>
  <dcterms:created xsi:type="dcterms:W3CDTF">2020-01-13T13:36:00Z</dcterms:created>
  <dcterms:modified xsi:type="dcterms:W3CDTF">2020-01-13T13:36:00Z</dcterms:modified>
</cp:coreProperties>
</file>